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F39" w:rsidRDefault="00085F39" w:rsidP="00C85A88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Diff</w:t>
      </w:r>
      <w:r w:rsidR="00BC061B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rence</w:t>
      </w:r>
      <w:r w:rsidR="00BC061B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C061B">
        <w:rPr>
          <w:rFonts w:ascii="Arial" w:hAnsi="Arial" w:cs="Arial"/>
          <w:b/>
          <w:bCs/>
          <w:sz w:val="24"/>
          <w:szCs w:val="24"/>
        </w:rPr>
        <w:t xml:space="preserve">between </w:t>
      </w:r>
      <w:r>
        <w:rPr>
          <w:rFonts w:ascii="Arial" w:hAnsi="Arial" w:cs="Arial"/>
          <w:b/>
          <w:bCs/>
          <w:sz w:val="24"/>
          <w:szCs w:val="24"/>
        </w:rPr>
        <w:t>EN 13445:20</w:t>
      </w:r>
      <w:r w:rsidR="00254689">
        <w:rPr>
          <w:rFonts w:ascii="Arial" w:hAnsi="Arial" w:cs="Arial"/>
          <w:b/>
          <w:bCs/>
          <w:sz w:val="24"/>
          <w:szCs w:val="24"/>
        </w:rPr>
        <w:t>14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C061B">
        <w:rPr>
          <w:rFonts w:ascii="Arial" w:hAnsi="Arial" w:cs="Arial"/>
          <w:b/>
          <w:bCs/>
          <w:sz w:val="24"/>
          <w:szCs w:val="24"/>
        </w:rPr>
        <w:t xml:space="preserve">and </w:t>
      </w:r>
      <w:r>
        <w:rPr>
          <w:rFonts w:ascii="Arial" w:hAnsi="Arial" w:cs="Arial"/>
          <w:b/>
          <w:bCs/>
          <w:sz w:val="24"/>
          <w:szCs w:val="24"/>
        </w:rPr>
        <w:t>EN 13445:20</w:t>
      </w:r>
      <w:r w:rsidR="00254689">
        <w:rPr>
          <w:rFonts w:ascii="Arial" w:hAnsi="Arial" w:cs="Arial"/>
          <w:b/>
          <w:bCs/>
          <w:sz w:val="24"/>
          <w:szCs w:val="24"/>
        </w:rPr>
        <w:t>21</w:t>
      </w:r>
    </w:p>
    <w:p w:rsidR="00CF1E08" w:rsidRPr="00CF1E08" w:rsidRDefault="00CF1E08" w:rsidP="00CF1E08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  <w:lang w:val="en-US"/>
        </w:rPr>
      </w:pPr>
      <w:r w:rsidRPr="00CF1E08">
        <w:rPr>
          <w:rFonts w:ascii="Arial" w:hAnsi="Arial" w:cs="Arial"/>
          <w:sz w:val="20"/>
          <w:szCs w:val="20"/>
          <w:lang w:val="en-US"/>
        </w:rPr>
        <w:t>The 20</w:t>
      </w:r>
      <w:r w:rsidR="00254689">
        <w:rPr>
          <w:rFonts w:ascii="Arial" w:hAnsi="Arial" w:cs="Arial"/>
          <w:sz w:val="20"/>
          <w:szCs w:val="20"/>
          <w:lang w:val="en-US"/>
        </w:rPr>
        <w:t>21</w:t>
      </w:r>
      <w:r w:rsidRPr="00CF1E08">
        <w:rPr>
          <w:rFonts w:ascii="Arial" w:hAnsi="Arial" w:cs="Arial"/>
          <w:sz w:val="20"/>
          <w:szCs w:val="20"/>
          <w:lang w:val="en-US"/>
        </w:rPr>
        <w:t xml:space="preserve"> edition of </w:t>
      </w:r>
      <w:r>
        <w:rPr>
          <w:rFonts w:ascii="Arial" w:hAnsi="Arial" w:cs="Arial"/>
          <w:sz w:val="20"/>
          <w:szCs w:val="20"/>
          <w:lang w:val="en-US"/>
        </w:rPr>
        <w:t>each part of EN 13445</w:t>
      </w:r>
      <w:r w:rsidRPr="00CF1E08">
        <w:rPr>
          <w:rFonts w:ascii="Arial" w:hAnsi="Arial" w:cs="Arial"/>
          <w:sz w:val="20"/>
          <w:szCs w:val="20"/>
          <w:lang w:val="en-US"/>
        </w:rPr>
        <w:t xml:space="preserve"> contains the 20</w:t>
      </w:r>
      <w:r w:rsidR="00254689">
        <w:rPr>
          <w:rFonts w:ascii="Arial" w:hAnsi="Arial" w:cs="Arial"/>
          <w:sz w:val="20"/>
          <w:szCs w:val="20"/>
          <w:lang w:val="en-US"/>
        </w:rPr>
        <w:t>14</w:t>
      </w:r>
      <w:r w:rsidRPr="00CF1E08">
        <w:rPr>
          <w:rFonts w:ascii="Arial" w:hAnsi="Arial" w:cs="Arial"/>
          <w:sz w:val="20"/>
          <w:szCs w:val="20"/>
          <w:lang w:val="en-US"/>
        </w:rPr>
        <w:t xml:space="preserve"> edition of the standard and all Amendment(s) and/or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CF1E08">
        <w:rPr>
          <w:rFonts w:ascii="Arial" w:hAnsi="Arial" w:cs="Arial"/>
          <w:sz w:val="20"/>
          <w:szCs w:val="20"/>
          <w:lang w:val="en-US"/>
        </w:rPr>
        <w:t>correction(s) issued in the meantime.</w:t>
      </w:r>
    </w:p>
    <w:p w:rsidR="00CF1E08" w:rsidRPr="00CF1E08" w:rsidRDefault="00CF1E08" w:rsidP="00CF1E08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  <w:lang w:val="en-US"/>
        </w:rPr>
      </w:pPr>
      <w:r w:rsidRPr="00CF1E08">
        <w:rPr>
          <w:rFonts w:ascii="Arial" w:hAnsi="Arial" w:cs="Arial"/>
          <w:sz w:val="20"/>
          <w:szCs w:val="20"/>
          <w:lang w:val="en-US"/>
        </w:rPr>
        <w:t xml:space="preserve">Significant technical changes </w:t>
      </w:r>
      <w:r>
        <w:rPr>
          <w:rFonts w:ascii="Arial" w:hAnsi="Arial" w:cs="Arial"/>
          <w:sz w:val="20"/>
          <w:szCs w:val="20"/>
          <w:lang w:val="en-US"/>
        </w:rPr>
        <w:t>are listed hereafter.</w:t>
      </w:r>
    </w:p>
    <w:p w:rsidR="00CF1E08" w:rsidRPr="00CF1E08" w:rsidRDefault="00CF1E08" w:rsidP="00CF1E08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Cs/>
          <w:sz w:val="18"/>
          <w:szCs w:val="24"/>
          <w:lang w:val="en-US"/>
        </w:rPr>
      </w:pPr>
      <w:r w:rsidRPr="00CF1E08">
        <w:rPr>
          <w:rFonts w:ascii="Arial" w:hAnsi="Arial" w:cs="Arial"/>
          <w:bCs/>
          <w:sz w:val="18"/>
          <w:szCs w:val="24"/>
          <w:lang w:val="en-US"/>
        </w:rPr>
        <w:t>NOTE</w:t>
      </w:r>
      <w:r w:rsidRPr="00CF1E08">
        <w:rPr>
          <w:rFonts w:ascii="Arial" w:hAnsi="Arial" w:cs="Arial"/>
          <w:bCs/>
          <w:sz w:val="18"/>
          <w:szCs w:val="24"/>
          <w:lang w:val="en-US"/>
        </w:rPr>
        <w:tab/>
        <w:t>The changes referred include the significant technical changes but is not an exhaustive list of all modifications</w:t>
      </w:r>
    </w:p>
    <w:p w:rsidR="00E076E3" w:rsidRDefault="00CF1E08" w:rsidP="00E076E3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</w:t>
      </w:r>
      <w:r w:rsidR="00085F39">
        <w:rPr>
          <w:rFonts w:ascii="Arial" w:hAnsi="Arial" w:cs="Arial"/>
          <w:b/>
          <w:bCs/>
          <w:sz w:val="24"/>
          <w:szCs w:val="24"/>
        </w:rPr>
        <w:t xml:space="preserve"> 1</w:t>
      </w:r>
    </w:p>
    <w:p w:rsidR="00CD3538" w:rsidRPr="00B04907" w:rsidRDefault="00CD3538" w:rsidP="00CD353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rPr>
          <w:rFonts w:ascii="Arial" w:hAnsi="Arial" w:cs="Arial"/>
          <w:sz w:val="20"/>
        </w:rPr>
      </w:pPr>
      <w:r w:rsidRPr="00B04907">
        <w:rPr>
          <w:rFonts w:ascii="Arial" w:hAnsi="Arial" w:cs="Arial"/>
          <w:sz w:val="20"/>
        </w:rPr>
        <w:t xml:space="preserve">Modification </w:t>
      </w:r>
      <w:r>
        <w:rPr>
          <w:rFonts w:ascii="Arial" w:hAnsi="Arial" w:cs="Arial"/>
          <w:sz w:val="20"/>
        </w:rPr>
        <w:t>of Clause</w:t>
      </w:r>
      <w:r w:rsidRPr="00B04907">
        <w:rPr>
          <w:rFonts w:ascii="Arial" w:hAnsi="Arial" w:cs="Arial"/>
          <w:sz w:val="20"/>
        </w:rPr>
        <w:t xml:space="preserve"> 1 – "</w:t>
      </w:r>
      <w:r>
        <w:rPr>
          <w:rFonts w:ascii="Arial" w:hAnsi="Arial" w:cs="Arial"/>
          <w:sz w:val="20"/>
        </w:rPr>
        <w:t>Scope</w:t>
      </w:r>
      <w:r w:rsidRPr="00B04907">
        <w:rPr>
          <w:rFonts w:ascii="Arial" w:hAnsi="Arial" w:cs="Arial"/>
          <w:sz w:val="20"/>
        </w:rPr>
        <w:t>"</w:t>
      </w:r>
    </w:p>
    <w:p w:rsidR="00CD3538" w:rsidRPr="00B04907" w:rsidRDefault="00CD3538" w:rsidP="00CD353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Updat</w:t>
      </w:r>
      <w:r w:rsidR="002F1820">
        <w:rPr>
          <w:rFonts w:ascii="Arial" w:hAnsi="Arial" w:cs="Arial"/>
          <w:sz w:val="20"/>
        </w:rPr>
        <w:t>ing</w:t>
      </w:r>
      <w:r>
        <w:rPr>
          <w:rFonts w:ascii="Arial" w:hAnsi="Arial" w:cs="Arial"/>
          <w:sz w:val="20"/>
        </w:rPr>
        <w:t xml:space="preserve"> of Clause</w:t>
      </w:r>
      <w:r w:rsidRPr="00B04907">
        <w:rPr>
          <w:rFonts w:ascii="Arial" w:hAnsi="Arial" w:cs="Arial"/>
          <w:sz w:val="20"/>
        </w:rPr>
        <w:t xml:space="preserve"> 3 – "D</w:t>
      </w:r>
      <w:r>
        <w:rPr>
          <w:rFonts w:ascii="Arial" w:hAnsi="Arial" w:cs="Arial"/>
          <w:sz w:val="20"/>
        </w:rPr>
        <w:t>e</w:t>
      </w:r>
      <w:r w:rsidRPr="00B04907">
        <w:rPr>
          <w:rFonts w:ascii="Arial" w:hAnsi="Arial" w:cs="Arial"/>
          <w:sz w:val="20"/>
        </w:rPr>
        <w:t>finition"</w:t>
      </w:r>
    </w:p>
    <w:p w:rsidR="00CD3538" w:rsidRPr="00B04907" w:rsidRDefault="00CD3538" w:rsidP="00CD353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</w:t>
      </w:r>
      <w:r w:rsidR="002F1820">
        <w:rPr>
          <w:rFonts w:ascii="Arial" w:hAnsi="Arial" w:cs="Arial"/>
          <w:sz w:val="20"/>
        </w:rPr>
        <w:t>dating</w:t>
      </w:r>
      <w:r>
        <w:rPr>
          <w:rFonts w:ascii="Arial" w:hAnsi="Arial" w:cs="Arial"/>
          <w:sz w:val="20"/>
        </w:rPr>
        <w:t xml:space="preserve"> of Annex</w:t>
      </w:r>
      <w:r w:rsidRPr="00B04907">
        <w:rPr>
          <w:rFonts w:ascii="Arial" w:hAnsi="Arial" w:cs="Arial"/>
          <w:sz w:val="20"/>
        </w:rPr>
        <w:t xml:space="preserve"> B – "Index"</w:t>
      </w:r>
    </w:p>
    <w:p w:rsidR="00E076E3" w:rsidRPr="00CF1E08" w:rsidRDefault="00CF1E08" w:rsidP="0087723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rPr>
          <w:rFonts w:ascii="Arial" w:hAnsi="Arial" w:cs="Arial"/>
          <w:sz w:val="20"/>
          <w:lang w:val="en-US"/>
        </w:rPr>
      </w:pPr>
      <w:r w:rsidRPr="00CF1E08">
        <w:rPr>
          <w:rFonts w:ascii="Arial" w:hAnsi="Arial" w:cs="Arial"/>
          <w:sz w:val="20"/>
          <w:szCs w:val="20"/>
          <w:lang w:val="en-US"/>
        </w:rPr>
        <w:t>Addition of Annex X – "List of Essential Safety Requirements"</w:t>
      </w:r>
    </w:p>
    <w:p w:rsidR="00085F39" w:rsidRDefault="00CF1E08" w:rsidP="00E076E3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</w:t>
      </w:r>
      <w:r w:rsidR="00085F39">
        <w:rPr>
          <w:rFonts w:ascii="Arial" w:hAnsi="Arial" w:cs="Arial"/>
          <w:b/>
          <w:bCs/>
          <w:sz w:val="24"/>
          <w:szCs w:val="24"/>
        </w:rPr>
        <w:t xml:space="preserve"> 2</w:t>
      </w:r>
    </w:p>
    <w:p w:rsidR="00EA4FBB" w:rsidRPr="00EA4FBB" w:rsidRDefault="00EA4FBB" w:rsidP="00EA4FB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rPr>
          <w:rFonts w:ascii="Arial" w:hAnsi="Arial" w:cs="Arial"/>
          <w:sz w:val="20"/>
          <w:szCs w:val="20"/>
          <w:lang w:val="en-US"/>
        </w:rPr>
      </w:pPr>
      <w:r w:rsidRPr="00EA4FBB">
        <w:rPr>
          <w:rFonts w:ascii="Arial" w:hAnsi="Arial" w:cs="Arial"/>
          <w:sz w:val="20"/>
          <w:szCs w:val="20"/>
          <w:lang w:val="en-US"/>
        </w:rPr>
        <w:t>M</w:t>
      </w:r>
      <w:r w:rsidRPr="00EA4FBB">
        <w:rPr>
          <w:rFonts w:ascii="Arial" w:hAnsi="Arial" w:cs="Arial"/>
          <w:sz w:val="20"/>
          <w:szCs w:val="20"/>
          <w:lang w:val="en-US"/>
        </w:rPr>
        <w:t xml:space="preserve">odification of Clause 1 </w:t>
      </w:r>
      <w:r>
        <w:rPr>
          <w:rFonts w:ascii="Arial" w:hAnsi="Arial" w:cs="Arial"/>
          <w:sz w:val="20"/>
          <w:szCs w:val="20"/>
          <w:lang w:val="en-US"/>
        </w:rPr>
        <w:t>"</w:t>
      </w:r>
      <w:r w:rsidRPr="00EA4FBB">
        <w:rPr>
          <w:rFonts w:ascii="Arial" w:hAnsi="Arial" w:cs="Arial"/>
          <w:sz w:val="20"/>
          <w:szCs w:val="20"/>
          <w:lang w:val="en-US"/>
        </w:rPr>
        <w:t>Scope</w:t>
      </w:r>
      <w:r>
        <w:rPr>
          <w:rFonts w:ascii="Arial" w:hAnsi="Arial" w:cs="Arial"/>
          <w:sz w:val="20"/>
          <w:szCs w:val="20"/>
          <w:lang w:val="en-US"/>
        </w:rPr>
        <w:t>"</w:t>
      </w:r>
      <w:r w:rsidRPr="00EA4FBB">
        <w:rPr>
          <w:rFonts w:ascii="Arial" w:hAnsi="Arial" w:cs="Arial"/>
          <w:sz w:val="20"/>
          <w:szCs w:val="20"/>
          <w:lang w:val="en-US"/>
        </w:rPr>
        <w:t xml:space="preserve"> to inform that metallic materials other than steel, such as spheroidal graphite cast iron, aluminium, nickel, copper, titanium are covered by other parts</w:t>
      </w:r>
    </w:p>
    <w:p w:rsidR="00EA4FBB" w:rsidRPr="00EA4FBB" w:rsidRDefault="00EA4FBB" w:rsidP="00EA4FB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rPr>
          <w:rFonts w:ascii="Arial" w:hAnsi="Arial" w:cs="Arial"/>
          <w:sz w:val="20"/>
          <w:szCs w:val="20"/>
          <w:lang w:val="en-US"/>
        </w:rPr>
      </w:pPr>
      <w:r w:rsidRPr="00EA4FBB">
        <w:rPr>
          <w:rFonts w:ascii="Arial" w:hAnsi="Arial" w:cs="Arial"/>
          <w:sz w:val="20"/>
          <w:szCs w:val="20"/>
          <w:lang w:val="en-US"/>
        </w:rPr>
        <w:t>M</w:t>
      </w:r>
      <w:r w:rsidRPr="00EA4FBB">
        <w:rPr>
          <w:rFonts w:ascii="Arial" w:hAnsi="Arial" w:cs="Arial"/>
          <w:sz w:val="20"/>
          <w:szCs w:val="20"/>
          <w:lang w:val="en-US"/>
        </w:rPr>
        <w:t>odification of B.2.2.4 on Bolt and nuts of Annex B to take into account evolution of EN</w:t>
      </w:r>
      <w:r>
        <w:rPr>
          <w:rFonts w:ascii="Arial" w:hAnsi="Arial" w:cs="Arial"/>
          <w:sz w:val="20"/>
          <w:szCs w:val="20"/>
          <w:lang w:val="en-US"/>
        </w:rPr>
        <w:t> </w:t>
      </w:r>
      <w:r w:rsidRPr="00EA4FBB">
        <w:rPr>
          <w:rFonts w:ascii="Arial" w:hAnsi="Arial" w:cs="Arial"/>
          <w:sz w:val="20"/>
          <w:szCs w:val="20"/>
          <w:lang w:val="en-US"/>
        </w:rPr>
        <w:t>10269:2013 Steels and nickel alloys for fasteners with specified elevated an</w:t>
      </w:r>
      <w:r>
        <w:rPr>
          <w:rFonts w:ascii="Arial" w:hAnsi="Arial" w:cs="Arial"/>
          <w:sz w:val="20"/>
          <w:szCs w:val="20"/>
          <w:lang w:val="en-US"/>
        </w:rPr>
        <w:t>d/or low temperature properties</w:t>
      </w:r>
    </w:p>
    <w:p w:rsidR="00EA4FBB" w:rsidRPr="00EA4FBB" w:rsidRDefault="00EA4FBB" w:rsidP="00EA4FB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rPr>
          <w:rFonts w:ascii="Arial" w:hAnsi="Arial" w:cs="Arial"/>
          <w:sz w:val="20"/>
          <w:szCs w:val="20"/>
          <w:lang w:val="en-US"/>
        </w:rPr>
      </w:pPr>
      <w:r w:rsidRPr="00EA4FBB">
        <w:rPr>
          <w:rFonts w:ascii="Arial" w:hAnsi="Arial" w:cs="Arial"/>
          <w:sz w:val="20"/>
          <w:szCs w:val="20"/>
          <w:lang w:val="en-US"/>
        </w:rPr>
        <w:t>M</w:t>
      </w:r>
      <w:r w:rsidRPr="00EA4FBB">
        <w:rPr>
          <w:rFonts w:ascii="Arial" w:hAnsi="Arial" w:cs="Arial"/>
          <w:sz w:val="20"/>
          <w:szCs w:val="20"/>
          <w:lang w:val="en-US"/>
        </w:rPr>
        <w:t>odification of the minimum lowest temperatures of the metal for austenitic stainless steels in Annex B (§ B.2.2.5);</w:t>
      </w:r>
    </w:p>
    <w:p w:rsidR="00CF1E08" w:rsidRPr="00EA4FBB" w:rsidRDefault="00EA4FBB" w:rsidP="00EA4FB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rPr>
          <w:rFonts w:ascii="Arial" w:hAnsi="Arial" w:cs="Arial"/>
          <w:sz w:val="20"/>
          <w:szCs w:val="20"/>
          <w:lang w:val="en-US"/>
        </w:rPr>
      </w:pPr>
      <w:r w:rsidRPr="00EA4FBB">
        <w:rPr>
          <w:rFonts w:ascii="Arial" w:hAnsi="Arial" w:cs="Arial"/>
          <w:sz w:val="20"/>
          <w:szCs w:val="20"/>
          <w:lang w:val="en-US"/>
        </w:rPr>
        <w:t>A</w:t>
      </w:r>
      <w:r w:rsidRPr="00EA4FBB">
        <w:rPr>
          <w:rFonts w:ascii="Arial" w:hAnsi="Arial" w:cs="Arial"/>
          <w:sz w:val="20"/>
          <w:szCs w:val="20"/>
          <w:lang w:val="en-US"/>
        </w:rPr>
        <w:t>ddition of a new Annex F – "Special provisions for materials and components"</w:t>
      </w:r>
    </w:p>
    <w:p w:rsidR="00085F39" w:rsidRPr="00CF1E08" w:rsidRDefault="002F1820" w:rsidP="00CF1E08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</w:t>
      </w:r>
      <w:r w:rsidR="00085F39" w:rsidRPr="00CF1E08">
        <w:rPr>
          <w:rFonts w:ascii="Arial" w:hAnsi="Arial" w:cs="Arial"/>
          <w:b/>
          <w:bCs/>
          <w:sz w:val="24"/>
          <w:szCs w:val="24"/>
        </w:rPr>
        <w:t xml:space="preserve"> 3</w:t>
      </w:r>
    </w:p>
    <w:p w:rsidR="00254689" w:rsidRPr="00254689" w:rsidRDefault="00CD3538" w:rsidP="0025468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R</w:t>
      </w:r>
      <w:r w:rsidR="00254689" w:rsidRPr="00254689">
        <w:rPr>
          <w:rFonts w:ascii="Arial" w:hAnsi="Arial" w:cs="Arial"/>
          <w:sz w:val="20"/>
          <w:lang w:val="en-US"/>
        </w:rPr>
        <w:t xml:space="preserve">emoval of Annex GA </w:t>
      </w:r>
      <w:r w:rsidR="00EA4FBB">
        <w:rPr>
          <w:rFonts w:ascii="Arial" w:hAnsi="Arial" w:cs="Arial"/>
          <w:sz w:val="20"/>
          <w:lang w:val="en-US"/>
        </w:rPr>
        <w:t>–</w:t>
      </w:r>
      <w:r w:rsidR="00254689" w:rsidRPr="00254689">
        <w:rPr>
          <w:rFonts w:ascii="Arial" w:hAnsi="Arial" w:cs="Arial"/>
          <w:sz w:val="20"/>
          <w:lang w:val="en-US"/>
        </w:rPr>
        <w:t xml:space="preserve"> </w:t>
      </w:r>
      <w:r w:rsidR="00EA4FBB">
        <w:rPr>
          <w:rFonts w:ascii="Arial" w:hAnsi="Arial" w:cs="Arial"/>
          <w:sz w:val="20"/>
          <w:lang w:val="en-US"/>
        </w:rPr>
        <w:t>“</w:t>
      </w:r>
      <w:r w:rsidR="00254689" w:rsidRPr="00254689">
        <w:rPr>
          <w:rFonts w:ascii="Arial" w:hAnsi="Arial" w:cs="Arial"/>
          <w:sz w:val="20"/>
          <w:lang w:val="en-US"/>
        </w:rPr>
        <w:t>Alternative design rules for flanges and gasketed flange connections</w:t>
      </w:r>
      <w:r w:rsidR="00EA4FBB">
        <w:rPr>
          <w:rFonts w:ascii="Arial" w:hAnsi="Arial" w:cs="Arial"/>
          <w:sz w:val="20"/>
          <w:lang w:val="en-US"/>
        </w:rPr>
        <w:t>”</w:t>
      </w:r>
    </w:p>
    <w:p w:rsidR="00254689" w:rsidRPr="00254689" w:rsidRDefault="00CD3538" w:rsidP="0025468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M</w:t>
      </w:r>
      <w:r w:rsidR="00254689" w:rsidRPr="00254689">
        <w:rPr>
          <w:rFonts w:ascii="Arial" w:hAnsi="Arial" w:cs="Arial"/>
          <w:sz w:val="20"/>
          <w:lang w:val="en-US"/>
        </w:rPr>
        <w:t xml:space="preserve">odification of the Clauses 6 </w:t>
      </w:r>
      <w:r w:rsidR="00254689">
        <w:rPr>
          <w:rFonts w:ascii="Arial" w:hAnsi="Arial" w:cs="Arial"/>
          <w:sz w:val="20"/>
          <w:lang w:val="en-US"/>
        </w:rPr>
        <w:t>“</w:t>
      </w:r>
      <w:r w:rsidR="00254689" w:rsidRPr="00254689">
        <w:rPr>
          <w:rFonts w:ascii="Arial" w:hAnsi="Arial" w:cs="Arial"/>
          <w:sz w:val="20"/>
          <w:lang w:val="en-US"/>
        </w:rPr>
        <w:t>Maximum allowed values of the nominal design stress for pressure parts</w:t>
      </w:r>
      <w:r w:rsidR="00254689">
        <w:rPr>
          <w:rFonts w:ascii="Arial" w:hAnsi="Arial" w:cs="Arial"/>
          <w:sz w:val="20"/>
          <w:lang w:val="en-US"/>
        </w:rPr>
        <w:t>”</w:t>
      </w:r>
      <w:r w:rsidR="00254689" w:rsidRPr="00254689">
        <w:rPr>
          <w:rFonts w:ascii="Arial" w:hAnsi="Arial" w:cs="Arial"/>
          <w:sz w:val="20"/>
          <w:lang w:val="en-US"/>
        </w:rPr>
        <w:t xml:space="preserve">, 15 </w:t>
      </w:r>
      <w:r w:rsidR="00254689">
        <w:rPr>
          <w:rFonts w:ascii="Arial" w:hAnsi="Arial" w:cs="Arial"/>
          <w:sz w:val="20"/>
          <w:lang w:val="en-US"/>
        </w:rPr>
        <w:t>“</w:t>
      </w:r>
      <w:r w:rsidR="00254689" w:rsidRPr="00254689">
        <w:rPr>
          <w:rFonts w:ascii="Arial" w:hAnsi="Arial" w:cs="Arial"/>
          <w:sz w:val="20"/>
          <w:lang w:val="en-US"/>
        </w:rPr>
        <w:t>Pressure vessels of rectangular section</w:t>
      </w:r>
      <w:r w:rsidR="00254689">
        <w:rPr>
          <w:rFonts w:ascii="Arial" w:hAnsi="Arial" w:cs="Arial"/>
          <w:sz w:val="20"/>
          <w:lang w:val="en-US"/>
        </w:rPr>
        <w:t>”</w:t>
      </w:r>
      <w:r w:rsidR="00254689" w:rsidRPr="00254689">
        <w:rPr>
          <w:rFonts w:ascii="Arial" w:hAnsi="Arial" w:cs="Arial"/>
          <w:sz w:val="20"/>
          <w:lang w:val="en-US"/>
        </w:rPr>
        <w:t xml:space="preserve">, 17 </w:t>
      </w:r>
      <w:r w:rsidR="00254689">
        <w:rPr>
          <w:rFonts w:ascii="Arial" w:hAnsi="Arial" w:cs="Arial"/>
          <w:sz w:val="20"/>
          <w:lang w:val="en-US"/>
        </w:rPr>
        <w:t>“</w:t>
      </w:r>
      <w:r w:rsidR="00254689" w:rsidRPr="00254689">
        <w:rPr>
          <w:rFonts w:ascii="Arial" w:hAnsi="Arial" w:cs="Arial"/>
          <w:sz w:val="20"/>
          <w:lang w:val="en-US"/>
        </w:rPr>
        <w:t>Simplified assessment of fatigue life</w:t>
      </w:r>
      <w:r w:rsidR="00254689">
        <w:rPr>
          <w:rFonts w:ascii="Arial" w:hAnsi="Arial" w:cs="Arial"/>
          <w:sz w:val="20"/>
          <w:lang w:val="en-US"/>
        </w:rPr>
        <w:t>”</w:t>
      </w:r>
      <w:r w:rsidR="00254689" w:rsidRPr="00254689">
        <w:rPr>
          <w:rFonts w:ascii="Arial" w:hAnsi="Arial" w:cs="Arial"/>
          <w:sz w:val="20"/>
          <w:lang w:val="en-US"/>
        </w:rPr>
        <w:t xml:space="preserve"> and 22 </w:t>
      </w:r>
      <w:r w:rsidR="00254689">
        <w:rPr>
          <w:rFonts w:ascii="Arial" w:hAnsi="Arial" w:cs="Arial"/>
          <w:sz w:val="20"/>
          <w:lang w:val="en-US"/>
        </w:rPr>
        <w:t>“</w:t>
      </w:r>
      <w:r w:rsidR="00254689" w:rsidRPr="00254689">
        <w:rPr>
          <w:rFonts w:ascii="Arial" w:hAnsi="Arial" w:cs="Arial"/>
          <w:sz w:val="20"/>
          <w:lang w:val="en-US"/>
        </w:rPr>
        <w:t>Static analysis of tall vertical vessels on skirts</w:t>
      </w:r>
      <w:r w:rsidR="00254689">
        <w:rPr>
          <w:rFonts w:ascii="Arial" w:hAnsi="Arial" w:cs="Arial"/>
          <w:sz w:val="20"/>
          <w:lang w:val="en-US"/>
        </w:rPr>
        <w:t>”</w:t>
      </w:r>
      <w:r w:rsidR="00254689" w:rsidRPr="00254689">
        <w:rPr>
          <w:rFonts w:ascii="Arial" w:hAnsi="Arial" w:cs="Arial"/>
          <w:sz w:val="20"/>
          <w:lang w:val="en-US"/>
        </w:rPr>
        <w:t xml:space="preserve"> and of some subclause of Clause 16 </w:t>
      </w:r>
      <w:r w:rsidR="00254689">
        <w:rPr>
          <w:rFonts w:ascii="Arial" w:hAnsi="Arial" w:cs="Arial"/>
          <w:sz w:val="20"/>
          <w:lang w:val="en-US"/>
        </w:rPr>
        <w:t>“</w:t>
      </w:r>
      <w:r w:rsidR="00254689" w:rsidRPr="00254689">
        <w:rPr>
          <w:rFonts w:ascii="Arial" w:hAnsi="Arial" w:cs="Arial"/>
          <w:sz w:val="20"/>
          <w:lang w:val="en-US"/>
        </w:rPr>
        <w:t>Additional non-pressure loads</w:t>
      </w:r>
      <w:r w:rsidR="00254689">
        <w:rPr>
          <w:rFonts w:ascii="Arial" w:hAnsi="Arial" w:cs="Arial"/>
          <w:sz w:val="20"/>
          <w:lang w:val="en-US"/>
        </w:rPr>
        <w:t>”</w:t>
      </w:r>
    </w:p>
    <w:p w:rsidR="00254689" w:rsidRPr="00254689" w:rsidRDefault="00CD3538" w:rsidP="002F182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M</w:t>
      </w:r>
      <w:r w:rsidR="00254689" w:rsidRPr="00254689">
        <w:rPr>
          <w:rFonts w:ascii="Arial" w:hAnsi="Arial" w:cs="Arial"/>
          <w:sz w:val="20"/>
          <w:lang w:val="en-US"/>
        </w:rPr>
        <w:t xml:space="preserve">odification of the Annexes J </w:t>
      </w:r>
      <w:r w:rsidR="00254689">
        <w:rPr>
          <w:rFonts w:ascii="Arial" w:hAnsi="Arial" w:cs="Arial"/>
          <w:sz w:val="20"/>
          <w:lang w:val="en-US"/>
        </w:rPr>
        <w:t>“</w:t>
      </w:r>
      <w:r w:rsidR="00254689" w:rsidRPr="00254689">
        <w:rPr>
          <w:rFonts w:ascii="Arial" w:hAnsi="Arial" w:cs="Arial"/>
          <w:sz w:val="20"/>
          <w:lang w:val="en-US"/>
        </w:rPr>
        <w:t>Alternative method for the design of heat exchanger tubesheets</w:t>
      </w:r>
      <w:r w:rsidR="00254689">
        <w:rPr>
          <w:rFonts w:ascii="Arial" w:hAnsi="Arial" w:cs="Arial"/>
          <w:sz w:val="20"/>
          <w:lang w:val="en-US"/>
        </w:rPr>
        <w:t>”</w:t>
      </w:r>
      <w:r w:rsidR="00254689" w:rsidRPr="00254689">
        <w:rPr>
          <w:rFonts w:ascii="Arial" w:hAnsi="Arial" w:cs="Arial"/>
          <w:sz w:val="20"/>
          <w:lang w:val="en-US"/>
        </w:rPr>
        <w:t xml:space="preserve">, M </w:t>
      </w:r>
      <w:r w:rsidR="00254689">
        <w:rPr>
          <w:rFonts w:ascii="Arial" w:hAnsi="Arial" w:cs="Arial"/>
          <w:sz w:val="20"/>
          <w:lang w:val="en-US"/>
        </w:rPr>
        <w:t>“</w:t>
      </w:r>
      <w:r w:rsidR="00254689" w:rsidRPr="00254689">
        <w:rPr>
          <w:rFonts w:ascii="Arial" w:hAnsi="Arial" w:cs="Arial"/>
          <w:sz w:val="20"/>
          <w:lang w:val="en-US"/>
        </w:rPr>
        <w:t>In service monitoring of vessels operating in fatigue or creep service</w:t>
      </w:r>
      <w:r w:rsidR="00254689">
        <w:rPr>
          <w:rFonts w:ascii="Arial" w:hAnsi="Arial" w:cs="Arial"/>
          <w:sz w:val="20"/>
          <w:lang w:val="en-US"/>
        </w:rPr>
        <w:t>”</w:t>
      </w:r>
      <w:r w:rsidR="00254689" w:rsidRPr="00254689">
        <w:rPr>
          <w:rFonts w:ascii="Arial" w:hAnsi="Arial" w:cs="Arial"/>
          <w:sz w:val="20"/>
          <w:lang w:val="en-US"/>
        </w:rPr>
        <w:t>, R</w:t>
      </w:r>
      <w:r w:rsidR="00254689">
        <w:rPr>
          <w:rFonts w:ascii="Arial" w:hAnsi="Arial" w:cs="Arial"/>
          <w:sz w:val="20"/>
          <w:lang w:val="en-US"/>
        </w:rPr>
        <w:t> “</w:t>
      </w:r>
      <w:r w:rsidR="00254689" w:rsidRPr="00254689">
        <w:rPr>
          <w:rFonts w:ascii="Arial" w:hAnsi="Arial" w:cs="Arial"/>
          <w:sz w:val="20"/>
          <w:lang w:val="en-US"/>
        </w:rPr>
        <w:t>Coefficients for creep-rupture model equations for extrapolation of creep-rupture strength</w:t>
      </w:r>
      <w:r w:rsidR="00254689">
        <w:rPr>
          <w:rFonts w:ascii="Arial" w:hAnsi="Arial" w:cs="Arial"/>
          <w:sz w:val="20"/>
          <w:lang w:val="en-US"/>
        </w:rPr>
        <w:t>”</w:t>
      </w:r>
      <w:r w:rsidR="00254689" w:rsidRPr="00254689">
        <w:rPr>
          <w:rFonts w:ascii="Arial" w:hAnsi="Arial" w:cs="Arial"/>
          <w:sz w:val="20"/>
          <w:lang w:val="en-US"/>
        </w:rPr>
        <w:t xml:space="preserve"> and U</w:t>
      </w:r>
      <w:r w:rsidR="00254689">
        <w:rPr>
          <w:rFonts w:ascii="Arial" w:hAnsi="Arial" w:cs="Arial"/>
          <w:sz w:val="20"/>
          <w:lang w:val="en-US"/>
        </w:rPr>
        <w:t xml:space="preserve"> “</w:t>
      </w:r>
      <w:r w:rsidR="002F1820" w:rsidRPr="002F1820">
        <w:rPr>
          <w:rFonts w:ascii="Arial" w:hAnsi="Arial" w:cs="Arial"/>
          <w:sz w:val="20"/>
          <w:lang w:val="en-US"/>
        </w:rPr>
        <w:t>Guidance on negligibility of additional thermal cycles in fatigue and ratcheting assessment</w:t>
      </w:r>
      <w:r w:rsidR="002F1820">
        <w:rPr>
          <w:rFonts w:ascii="Arial" w:hAnsi="Arial" w:cs="Arial"/>
          <w:sz w:val="20"/>
          <w:lang w:val="en-US"/>
        </w:rPr>
        <w:t>"</w:t>
      </w:r>
    </w:p>
    <w:p w:rsidR="00CF1E08" w:rsidRPr="00CF1E08" w:rsidRDefault="00CD3538" w:rsidP="0025468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A</w:t>
      </w:r>
      <w:r w:rsidR="00254689" w:rsidRPr="00254689">
        <w:rPr>
          <w:rFonts w:ascii="Arial" w:hAnsi="Arial" w:cs="Arial"/>
          <w:sz w:val="20"/>
          <w:lang w:val="en-US"/>
        </w:rPr>
        <w:t xml:space="preserve">ddition of a new Subclause 5.3.2.4 and </w:t>
      </w:r>
      <w:r>
        <w:rPr>
          <w:rFonts w:ascii="Arial" w:hAnsi="Arial" w:cs="Arial"/>
          <w:sz w:val="20"/>
          <w:lang w:val="en-US"/>
        </w:rPr>
        <w:t xml:space="preserve">Clause </w:t>
      </w:r>
      <w:r w:rsidR="00254689" w:rsidRPr="00254689">
        <w:rPr>
          <w:rFonts w:ascii="Arial" w:hAnsi="Arial" w:cs="Arial"/>
          <w:sz w:val="20"/>
          <w:lang w:val="en-US"/>
        </w:rPr>
        <w:t>C.8</w:t>
      </w:r>
    </w:p>
    <w:p w:rsidR="00085F39" w:rsidRDefault="002F1820" w:rsidP="002F1820">
      <w:pPr>
        <w:keepNext/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Part</w:t>
      </w:r>
      <w:r w:rsidR="00085F39" w:rsidRPr="00085F39">
        <w:rPr>
          <w:rFonts w:ascii="Arial" w:hAnsi="Arial" w:cs="Arial"/>
          <w:b/>
          <w:bCs/>
          <w:sz w:val="24"/>
          <w:szCs w:val="24"/>
        </w:rPr>
        <w:t xml:space="preserve"> </w:t>
      </w:r>
      <w:r w:rsidR="00085F39">
        <w:rPr>
          <w:rFonts w:ascii="Arial" w:hAnsi="Arial" w:cs="Arial"/>
          <w:b/>
          <w:bCs/>
          <w:sz w:val="24"/>
          <w:szCs w:val="24"/>
        </w:rPr>
        <w:t>4</w:t>
      </w:r>
    </w:p>
    <w:p w:rsidR="00CF1E08" w:rsidRPr="00CF1E08" w:rsidRDefault="002F1820" w:rsidP="002F182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M</w:t>
      </w:r>
      <w:r w:rsidRPr="002F1820">
        <w:rPr>
          <w:rFonts w:ascii="Arial" w:hAnsi="Arial" w:cs="Arial"/>
          <w:sz w:val="20"/>
          <w:lang w:val="en-US"/>
        </w:rPr>
        <w:t>odification of 7.4 Qualification of welders and welding operators in order to take into account EN ISO 9606-1:2017, Qualification testing of welders — Fusion welding — Part 1: Steels.</w:t>
      </w:r>
    </w:p>
    <w:p w:rsidR="00085F39" w:rsidRPr="00085F39" w:rsidRDefault="002F1820" w:rsidP="00085F3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</w:t>
      </w:r>
      <w:r w:rsidR="00085F39">
        <w:rPr>
          <w:rFonts w:ascii="Arial" w:hAnsi="Arial" w:cs="Arial"/>
          <w:b/>
          <w:bCs/>
          <w:sz w:val="24"/>
          <w:szCs w:val="24"/>
        </w:rPr>
        <w:t xml:space="preserve"> 5</w:t>
      </w:r>
    </w:p>
    <w:p w:rsidR="00155AE1" w:rsidRPr="00155AE1" w:rsidRDefault="002F1820" w:rsidP="002F182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>M</w:t>
      </w:r>
      <w:r w:rsidRPr="002F1820">
        <w:rPr>
          <w:rFonts w:ascii="Arial" w:hAnsi="Arial" w:cs="Arial"/>
          <w:sz w:val="20"/>
          <w:lang w:val="en-US"/>
        </w:rPr>
        <w:t>odification of Table 6.6.1-1 "Testing groups for steel pressure vessels" on extent of NDT</w:t>
      </w:r>
      <w:r w:rsidR="00155AE1" w:rsidRPr="00155AE1">
        <w:rPr>
          <w:rFonts w:ascii="Arial" w:hAnsi="Arial" w:cs="Arial"/>
          <w:sz w:val="20"/>
          <w:lang w:val="en-US"/>
        </w:rPr>
        <w:t>;</w:t>
      </w:r>
    </w:p>
    <w:p w:rsidR="00155AE1" w:rsidRPr="00155AE1" w:rsidRDefault="002F1820" w:rsidP="002F182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Pr="002F1820">
        <w:rPr>
          <w:rFonts w:ascii="Arial" w:hAnsi="Arial" w:cs="Arial"/>
          <w:sz w:val="20"/>
        </w:rPr>
        <w:t>odification of Table ZA "Relationship between this European Standard and the essential requirements of Directive 2014/68/EU aimed to be covered" to be more accurate.</w:t>
      </w:r>
    </w:p>
    <w:p w:rsidR="00085F39" w:rsidRPr="00085F39" w:rsidRDefault="002F1820" w:rsidP="00085F3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</w:t>
      </w:r>
      <w:r w:rsidR="00085F39" w:rsidRPr="00085F39">
        <w:rPr>
          <w:rFonts w:ascii="Arial" w:hAnsi="Arial" w:cs="Arial"/>
          <w:b/>
          <w:bCs/>
          <w:sz w:val="24"/>
          <w:szCs w:val="24"/>
        </w:rPr>
        <w:t xml:space="preserve"> 6</w:t>
      </w:r>
    </w:p>
    <w:p w:rsidR="002F1820" w:rsidRPr="002F1820" w:rsidRDefault="002F1820" w:rsidP="002F182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Arial" w:hAnsi="Arial" w:cs="Arial"/>
          <w:sz w:val="20"/>
          <w:lang w:val="en-US"/>
        </w:rPr>
      </w:pPr>
      <w:r w:rsidRPr="002F1820">
        <w:rPr>
          <w:rFonts w:ascii="Arial" w:hAnsi="Arial" w:cs="Arial"/>
          <w:sz w:val="20"/>
          <w:lang w:val="en-US"/>
        </w:rPr>
        <w:t>I</w:t>
      </w:r>
      <w:r w:rsidRPr="002F1820">
        <w:rPr>
          <w:rFonts w:ascii="Arial" w:hAnsi="Arial" w:cs="Arial"/>
          <w:sz w:val="20"/>
          <w:lang w:val="en-US"/>
        </w:rPr>
        <w:t>ntroducing the concept of group for fluids;</w:t>
      </w:r>
    </w:p>
    <w:p w:rsidR="002F1820" w:rsidRPr="002F1820" w:rsidRDefault="002F1820" w:rsidP="002F182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Arial" w:hAnsi="Arial" w:cs="Arial"/>
          <w:sz w:val="20"/>
          <w:lang w:val="en-US"/>
        </w:rPr>
      </w:pPr>
      <w:r w:rsidRPr="002F1820">
        <w:rPr>
          <w:rFonts w:ascii="Arial" w:hAnsi="Arial" w:cs="Arial"/>
          <w:sz w:val="20"/>
          <w:lang w:val="en-US"/>
        </w:rPr>
        <w:t>M</w:t>
      </w:r>
      <w:r w:rsidRPr="002F1820">
        <w:rPr>
          <w:rFonts w:ascii="Arial" w:hAnsi="Arial" w:cs="Arial"/>
          <w:sz w:val="20"/>
          <w:lang w:val="en-US"/>
        </w:rPr>
        <w:t>odification of the designation of the materials and characteristics according to uniform European Standards EN1563 and EN 13835;</w:t>
      </w:r>
    </w:p>
    <w:p w:rsidR="00085F39" w:rsidRPr="002F1820" w:rsidRDefault="002F1820" w:rsidP="002F182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Arial" w:hAnsi="Arial" w:cs="Arial"/>
          <w:sz w:val="20"/>
          <w:lang w:val="en-US"/>
        </w:rPr>
      </w:pPr>
      <w:r w:rsidRPr="002F1820">
        <w:rPr>
          <w:rFonts w:ascii="Arial" w:hAnsi="Arial" w:cs="Arial"/>
          <w:sz w:val="20"/>
          <w:lang w:val="en-US"/>
        </w:rPr>
        <w:t>U</w:t>
      </w:r>
      <w:r w:rsidRPr="002F1820">
        <w:rPr>
          <w:rFonts w:ascii="Arial" w:hAnsi="Arial" w:cs="Arial"/>
          <w:sz w:val="20"/>
          <w:lang w:val="en-US"/>
        </w:rPr>
        <w:t>pdating of test and inspection methods.</w:t>
      </w:r>
    </w:p>
    <w:p w:rsidR="00085F39" w:rsidRDefault="002F1820" w:rsidP="00085F39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</w:t>
      </w:r>
      <w:r w:rsidR="00085F39" w:rsidRPr="00085F39">
        <w:rPr>
          <w:rFonts w:ascii="Arial" w:hAnsi="Arial" w:cs="Arial"/>
          <w:b/>
          <w:bCs/>
          <w:sz w:val="24"/>
          <w:szCs w:val="24"/>
        </w:rPr>
        <w:t xml:space="preserve"> 8</w:t>
      </w:r>
    </w:p>
    <w:p w:rsidR="002F1820" w:rsidRDefault="002F1820" w:rsidP="002F182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08753E">
        <w:rPr>
          <w:rFonts w:ascii="Arial" w:hAnsi="Arial" w:cs="Arial"/>
          <w:sz w:val="20"/>
        </w:rPr>
        <w:t>dditions relate to flat ends (6.7), design by experiment (6.8), port-hole extruded tubes (6.9), tolerances (7.3), and the allowable design strength values (Annex A)</w:t>
      </w:r>
    </w:p>
    <w:p w:rsidR="002F1820" w:rsidRDefault="002F1820" w:rsidP="002F182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</w:t>
      </w:r>
      <w:r w:rsidRPr="00085F3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10</w:t>
      </w:r>
      <w:bookmarkStart w:id="0" w:name="_GoBack"/>
      <w:bookmarkEnd w:id="0"/>
    </w:p>
    <w:p w:rsidR="002F1820" w:rsidRDefault="002F1820" w:rsidP="002F182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s</w:t>
      </w:r>
      <w:r w:rsidRPr="00CF1E08">
        <w:rPr>
          <w:rFonts w:ascii="Arial" w:hAnsi="Arial" w:cs="Arial"/>
          <w:sz w:val="20"/>
          <w:szCs w:val="20"/>
          <w:lang w:val="en-US"/>
        </w:rPr>
        <w:t>ignificant technical changes</w:t>
      </w:r>
      <w:r>
        <w:rPr>
          <w:rFonts w:ascii="Arial" w:hAnsi="Arial" w:cs="Arial"/>
          <w:sz w:val="20"/>
        </w:rPr>
        <w:t>.</w:t>
      </w:r>
    </w:p>
    <w:p w:rsidR="00085F39" w:rsidRPr="00085F39" w:rsidRDefault="00085F39" w:rsidP="00155AE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</w:rPr>
      </w:pPr>
    </w:p>
    <w:sectPr w:rsidR="00085F39" w:rsidRPr="00085F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A88" w:rsidRDefault="00C85A88" w:rsidP="00C85A88">
      <w:pPr>
        <w:spacing w:after="0" w:line="240" w:lineRule="auto"/>
      </w:pPr>
      <w:r>
        <w:separator/>
      </w:r>
    </w:p>
  </w:endnote>
  <w:endnote w:type="continuationSeparator" w:id="0">
    <w:p w:rsidR="00C85A88" w:rsidRDefault="00C85A88" w:rsidP="00C8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etr706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A88" w:rsidRDefault="00C85A88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1ECDCD" wp14:editId="6ECA08EA">
              <wp:simplePos x="0" y="0"/>
              <wp:positionH relativeFrom="margin">
                <wp:align>center</wp:align>
              </wp:positionH>
              <wp:positionV relativeFrom="paragraph">
                <wp:posOffset>-401270</wp:posOffset>
              </wp:positionV>
              <wp:extent cx="7561580" cy="650240"/>
              <wp:effectExtent l="0" t="0" r="0" b="6985"/>
              <wp:wrapNone/>
              <wp:docPr id="7" name="Zone de text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7561580" cy="650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5A88" w:rsidRPr="003751FA" w:rsidRDefault="00C85A88" w:rsidP="00C85A88">
                          <w:pPr>
                            <w:pStyle w:val="Pieddepage"/>
                            <w:tabs>
                              <w:tab w:val="clear" w:pos="9072"/>
                            </w:tabs>
                            <w:ind w:left="-1417" w:right="-1417"/>
                            <w:contextualSpacing/>
                            <w:jc w:val="center"/>
                            <w:rPr>
                              <w:rFonts w:ascii="Geometr706 Md BT" w:hAnsi="Geometr706 Md BT"/>
                              <w:color w:val="066BBE"/>
                              <w:sz w:val="18"/>
                              <w:szCs w:val="18"/>
                            </w:rPr>
                          </w:pPr>
                          <w:r w:rsidRPr="001B18CE">
                            <w:rPr>
                              <w:rFonts w:ascii="Geometr706 Md BT" w:hAnsi="Geometr706 Md BT"/>
                              <w:b/>
                              <w:color w:val="066BBE"/>
                              <w:sz w:val="18"/>
                              <w:szCs w:val="18"/>
                            </w:rPr>
                            <w:t>Union de Normalisation de la Mécanique  - UNM</w:t>
                          </w:r>
                          <w:r w:rsidRPr="001B18CE">
                            <w:rPr>
                              <w:rFonts w:ascii="Geometr706 Md BT" w:hAnsi="Geometr706 Md BT"/>
                              <w:b/>
                              <w:color w:val="066BBE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Geometr706 Md BT" w:hAnsi="Geometr706 Md BT"/>
                              <w:b/>
                              <w:color w:val="066BBE"/>
                              <w:sz w:val="18"/>
                              <w:szCs w:val="18"/>
                            </w:rPr>
                            <w:t>Standardization office o</w:t>
                          </w:r>
                          <w:r w:rsidRPr="001B18CE">
                            <w:rPr>
                              <w:rFonts w:ascii="Geometr706 Md BT" w:hAnsi="Geometr706 Md BT"/>
                              <w:b/>
                              <w:color w:val="066BBE"/>
                              <w:sz w:val="18"/>
                              <w:szCs w:val="18"/>
                            </w:rPr>
                            <w:t>n behalf of AFNOR</w:t>
                          </w:r>
                          <w:r w:rsidRPr="001B18CE">
                            <w:rPr>
                              <w:rFonts w:ascii="Geometr706 Md BT" w:hAnsi="Geometr706 Md BT"/>
                              <w:b/>
                              <w:color w:val="066BBE"/>
                              <w:sz w:val="18"/>
                              <w:szCs w:val="18"/>
                            </w:rPr>
                            <w:br/>
                          </w:r>
                          <w:r w:rsidRPr="003751FA">
                            <w:rPr>
                              <w:rFonts w:ascii="MS Gothic" w:eastAsia="MS Gothic" w:hAnsi="MS Gothic" w:cs="MS Gothic" w:hint="eastAsia"/>
                              <w:color w:val="066BBE"/>
                              <w:sz w:val="18"/>
                              <w:szCs w:val="18"/>
                            </w:rPr>
                            <w:t>✉</w:t>
                          </w:r>
                          <w:r w:rsidRPr="003751FA">
                            <w:rPr>
                              <w:rFonts w:ascii="Geometr706 Md BT" w:hAnsi="Geometr706 Md BT"/>
                              <w:color w:val="066BBE"/>
                              <w:sz w:val="18"/>
                              <w:szCs w:val="18"/>
                            </w:rPr>
                            <w:t xml:space="preserve"> F-92038 Paris La Défense cedex / 45, rue Louis Blanc - 92400 Courbevoie – France</w:t>
                          </w:r>
                        </w:p>
                        <w:p w:rsidR="00C85A88" w:rsidRPr="003751FA" w:rsidRDefault="00C85A88" w:rsidP="00C85A88">
                          <w:pPr>
                            <w:pStyle w:val="Pieddepage"/>
                            <w:tabs>
                              <w:tab w:val="clear" w:pos="9072"/>
                            </w:tabs>
                            <w:ind w:left="-1417" w:right="-1417"/>
                            <w:contextualSpacing/>
                            <w:jc w:val="center"/>
                            <w:rPr>
                              <w:rFonts w:ascii="Geometr706 Md BT" w:hAnsi="Geometr706 Md BT"/>
                              <w:color w:val="066BBE"/>
                              <w:sz w:val="18"/>
                              <w:szCs w:val="18"/>
                            </w:rPr>
                          </w:pPr>
                          <w:r w:rsidRPr="003751FA">
                            <w:rPr>
                              <w:rFonts w:ascii="Geometr706 Md BT" w:hAnsi="Geometr706 Md BT"/>
                              <w:color w:val="066BBE"/>
                              <w:sz w:val="18"/>
                              <w:szCs w:val="18"/>
                            </w:rPr>
                            <w:t>www.unm.fr - Tél: + 33 1 47 17 67 67 - Fax : + 33 1 47 17 67 99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ECDCD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0;margin-top:-31.6pt;width:595.4pt;height:51.2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" filled="f" stroked="f" strokeweight=".5pt">
              <v:path arrowok="t"/>
              <o:lock v:ext="edit" aspectratio="t"/>
              <v:textbox style="mso-fit-shape-to-text:t">
                <w:txbxContent>
                  <w:p w:rsidR="00C85A88" w:rsidRPr="003751FA" w:rsidRDefault="00C85A88" w:rsidP="00C85A88">
                    <w:pPr>
                      <w:pStyle w:val="Pieddepage"/>
                      <w:tabs>
                        <w:tab w:val="clear" w:pos="9072"/>
                      </w:tabs>
                      <w:ind w:left="-1417" w:right="-1417"/>
                      <w:contextualSpacing/>
                      <w:jc w:val="center"/>
                      <w:rPr>
                        <w:rFonts w:ascii="Geometr706 Md BT" w:hAnsi="Geometr706 Md BT"/>
                        <w:color w:val="066BBE"/>
                        <w:sz w:val="18"/>
                        <w:szCs w:val="18"/>
                      </w:rPr>
                    </w:pPr>
                    <w:r w:rsidRPr="001B18CE">
                      <w:rPr>
                        <w:rFonts w:ascii="Geometr706 Md BT" w:hAnsi="Geometr706 Md BT"/>
                        <w:b/>
                        <w:color w:val="066BBE"/>
                        <w:sz w:val="18"/>
                        <w:szCs w:val="18"/>
                      </w:rPr>
                      <w:t>Union de Normalisation de la Mécanique  - UNM</w:t>
                    </w:r>
                    <w:r w:rsidRPr="001B18CE">
                      <w:rPr>
                        <w:rFonts w:ascii="Geometr706 Md BT" w:hAnsi="Geometr706 Md BT"/>
                        <w:b/>
                        <w:color w:val="066BBE"/>
                        <w:sz w:val="18"/>
                        <w:szCs w:val="18"/>
                      </w:rPr>
                      <w:br/>
                    </w:r>
                    <w:r>
                      <w:rPr>
                        <w:rFonts w:ascii="Geometr706 Md BT" w:hAnsi="Geometr706 Md BT"/>
                        <w:b/>
                        <w:color w:val="066BBE"/>
                        <w:sz w:val="18"/>
                        <w:szCs w:val="18"/>
                      </w:rPr>
                      <w:t>Standardization office o</w:t>
                    </w:r>
                    <w:r w:rsidRPr="001B18CE">
                      <w:rPr>
                        <w:rFonts w:ascii="Geometr706 Md BT" w:hAnsi="Geometr706 Md BT"/>
                        <w:b/>
                        <w:color w:val="066BBE"/>
                        <w:sz w:val="18"/>
                        <w:szCs w:val="18"/>
                      </w:rPr>
                      <w:t>n behalf of AFNOR</w:t>
                    </w:r>
                    <w:r w:rsidRPr="001B18CE">
                      <w:rPr>
                        <w:rFonts w:ascii="Geometr706 Md BT" w:hAnsi="Geometr706 Md BT"/>
                        <w:b/>
                        <w:color w:val="066BBE"/>
                        <w:sz w:val="18"/>
                        <w:szCs w:val="18"/>
                      </w:rPr>
                      <w:br/>
                    </w:r>
                    <w:r w:rsidRPr="003751FA">
                      <w:rPr>
                        <w:rFonts w:ascii="MS Gothic" w:eastAsia="MS Gothic" w:hAnsi="MS Gothic" w:cs="MS Gothic" w:hint="eastAsia"/>
                        <w:color w:val="066BBE"/>
                        <w:sz w:val="18"/>
                        <w:szCs w:val="18"/>
                      </w:rPr>
                      <w:t>✉</w:t>
                    </w:r>
                    <w:r w:rsidRPr="003751FA">
                      <w:rPr>
                        <w:rFonts w:ascii="Geometr706 Md BT" w:hAnsi="Geometr706 Md BT"/>
                        <w:color w:val="066BBE"/>
                        <w:sz w:val="18"/>
                        <w:szCs w:val="18"/>
                      </w:rPr>
                      <w:t xml:space="preserve"> F-92038 Paris La Défense cedex / 45, rue Louis Blanc - 92400 Courbevoie – France</w:t>
                    </w:r>
                  </w:p>
                  <w:p w:rsidR="00C85A88" w:rsidRPr="003751FA" w:rsidRDefault="00C85A88" w:rsidP="00C85A88">
                    <w:pPr>
                      <w:pStyle w:val="Pieddepage"/>
                      <w:tabs>
                        <w:tab w:val="clear" w:pos="9072"/>
                      </w:tabs>
                      <w:ind w:left="-1417" w:right="-1417"/>
                      <w:contextualSpacing/>
                      <w:jc w:val="center"/>
                      <w:rPr>
                        <w:rFonts w:ascii="Geometr706 Md BT" w:hAnsi="Geometr706 Md BT"/>
                        <w:color w:val="066BBE"/>
                        <w:sz w:val="18"/>
                        <w:szCs w:val="18"/>
                      </w:rPr>
                    </w:pPr>
                    <w:r w:rsidRPr="003751FA">
                      <w:rPr>
                        <w:rFonts w:ascii="Geometr706 Md BT" w:hAnsi="Geometr706 Md BT"/>
                        <w:color w:val="066BBE"/>
                        <w:sz w:val="18"/>
                        <w:szCs w:val="18"/>
                      </w:rPr>
                      <w:t>www.unm.fr - Tél: + 33 1 47 17 67 67 - Fax : + 33 1 47 17 67 99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A88" w:rsidRDefault="00C85A88" w:rsidP="00C85A88">
      <w:pPr>
        <w:spacing w:after="0" w:line="240" w:lineRule="auto"/>
      </w:pPr>
      <w:r>
        <w:separator/>
      </w:r>
    </w:p>
  </w:footnote>
  <w:footnote w:type="continuationSeparator" w:id="0">
    <w:p w:rsidR="00C85A88" w:rsidRDefault="00C85A88" w:rsidP="00C8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4296"/>
      <w:gridCol w:w="4634"/>
    </w:tblGrid>
    <w:tr w:rsidR="00800ED1" w:rsidTr="003B0CFF">
      <w:tc>
        <w:tcPr>
          <w:tcW w:w="1844" w:type="dxa"/>
          <w:vAlign w:val="center"/>
        </w:tcPr>
        <w:p w:rsidR="00800ED1" w:rsidRDefault="00800ED1" w:rsidP="003B0CFF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>
                <wp:extent cx="1076325" cy="819150"/>
                <wp:effectExtent l="0" t="0" r="9525" b="0"/>
                <wp:docPr id="4" name="Image 4" descr="LOGO-CE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-CE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dxa"/>
          <w:vAlign w:val="center"/>
        </w:tcPr>
        <w:p w:rsidR="00800ED1" w:rsidRPr="00800ED1" w:rsidRDefault="00800ED1" w:rsidP="003B0CFF">
          <w:pPr>
            <w:pStyle w:val="En-tte"/>
            <w:rPr>
              <w:rFonts w:ascii="Arial" w:hAnsi="Arial"/>
              <w:sz w:val="18"/>
            </w:rPr>
          </w:pPr>
          <w:r w:rsidRPr="00800ED1">
            <w:rPr>
              <w:rFonts w:ascii="Arial" w:hAnsi="Arial"/>
              <w:sz w:val="18"/>
            </w:rPr>
            <w:t>European Committee for Standardization</w:t>
          </w:r>
        </w:p>
        <w:p w:rsidR="00800ED1" w:rsidRDefault="00800ED1" w:rsidP="003B0CFF">
          <w:pPr>
            <w:pStyle w:val="En-tte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Comité Européen de Normalisation</w:t>
          </w:r>
        </w:p>
        <w:p w:rsidR="00800ED1" w:rsidRDefault="00800ED1" w:rsidP="003B0CFF">
          <w:pPr>
            <w:pStyle w:val="En-tte"/>
            <w:rPr>
              <w:rFonts w:ascii="Arial" w:hAnsi="Arial"/>
              <w:sz w:val="18"/>
              <w:lang w:val="de-DE"/>
            </w:rPr>
          </w:pPr>
          <w:r>
            <w:rPr>
              <w:rFonts w:ascii="Arial" w:hAnsi="Arial"/>
              <w:sz w:val="18"/>
              <w:lang w:val="de-DE"/>
            </w:rPr>
            <w:t>Europaïsches Komitee für Normung</w:t>
          </w:r>
        </w:p>
      </w:tc>
      <w:tc>
        <w:tcPr>
          <w:tcW w:w="4634" w:type="dxa"/>
          <w:vAlign w:val="center"/>
        </w:tcPr>
        <w:p w:rsidR="00800ED1" w:rsidRDefault="00800ED1" w:rsidP="003B0CFF">
          <w:pPr>
            <w:pStyle w:val="En-tte"/>
            <w:jc w:val="right"/>
          </w:pPr>
        </w:p>
      </w:tc>
    </w:tr>
  </w:tbl>
  <w:p w:rsidR="00C85A88" w:rsidRPr="00800ED1" w:rsidRDefault="00C85A88" w:rsidP="00800E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779B"/>
    <w:multiLevelType w:val="hybridMultilevel"/>
    <w:tmpl w:val="9CC48800"/>
    <w:lvl w:ilvl="0" w:tplc="97344D5A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E3"/>
    <w:rsid w:val="00054880"/>
    <w:rsid w:val="00085F39"/>
    <w:rsid w:val="00155AE1"/>
    <w:rsid w:val="00254689"/>
    <w:rsid w:val="002F1820"/>
    <w:rsid w:val="0061135D"/>
    <w:rsid w:val="00800ED1"/>
    <w:rsid w:val="00877235"/>
    <w:rsid w:val="00AF0F13"/>
    <w:rsid w:val="00BC061B"/>
    <w:rsid w:val="00C85A88"/>
    <w:rsid w:val="00CC424C"/>
    <w:rsid w:val="00CD3538"/>
    <w:rsid w:val="00CF1E08"/>
    <w:rsid w:val="00E076E3"/>
    <w:rsid w:val="00EA4FBB"/>
    <w:rsid w:val="00EC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8970B8"/>
  <w15:docId w15:val="{50289CF1-16C1-4671-980E-6B36BEC8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76E3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C85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C85A88"/>
  </w:style>
  <w:style w:type="paragraph" w:styleId="Pieddepage">
    <w:name w:val="footer"/>
    <w:basedOn w:val="Normal"/>
    <w:link w:val="PieddepageCar"/>
    <w:unhideWhenUsed/>
    <w:rsid w:val="00C85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5A88"/>
  </w:style>
  <w:style w:type="paragraph" w:styleId="Textedebulles">
    <w:name w:val="Balloon Text"/>
    <w:basedOn w:val="Normal"/>
    <w:link w:val="TextedebullesCar"/>
    <w:uiPriority w:val="99"/>
    <w:semiHidden/>
    <w:unhideWhenUsed/>
    <w:rsid w:val="00C8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MOUAZAN Véronique</dc:creator>
  <cp:lastModifiedBy>LUDIVION Nadiège</cp:lastModifiedBy>
  <cp:revision>5</cp:revision>
  <dcterms:created xsi:type="dcterms:W3CDTF">2022-07-28T16:23:00Z</dcterms:created>
  <dcterms:modified xsi:type="dcterms:W3CDTF">2022-07-28T17:13:00Z</dcterms:modified>
</cp:coreProperties>
</file>